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228C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78C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167AED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Napredne laboratorijske tehnologije</w:t>
      </w:r>
    </w:p>
    <w:tbl>
      <w:tblPr>
        <w:tblStyle w:val="9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5760"/>
      </w:tblGrid>
      <w:tr w14:paraId="3A91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5" w:type="dxa"/>
            <w:shd w:val="clear" w:color="auto" w:fill="F1F1F1" w:themeFill="background1" w:themeFillShade="F2"/>
          </w:tcPr>
          <w:p w14:paraId="584D7129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zh-CN" w:eastAsia="en-US" w:bidi="ar-SA"/>
              </w:rPr>
              <w:t>SEMESTAR</w:t>
            </w:r>
          </w:p>
        </w:tc>
        <w:tc>
          <w:tcPr>
            <w:tcW w:w="5760" w:type="dxa"/>
          </w:tcPr>
          <w:p w14:paraId="3AE3BE5E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zh-CN" w:eastAsia="en-US" w:bidi="ar-SA"/>
              </w:rPr>
              <w:t>Zimski, 2024/2025</w:t>
            </w:r>
          </w:p>
        </w:tc>
      </w:tr>
      <w:tr w14:paraId="4268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5" w:type="dxa"/>
            <w:shd w:val="clear" w:color="auto" w:fill="F1F1F1" w:themeFill="background1" w:themeFillShade="F2"/>
          </w:tcPr>
          <w:p w14:paraId="773FD0B7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zh-CN" w:eastAsia="en-US" w:bidi="ar-SA"/>
              </w:rPr>
              <w:t>NAČIN STUDIRANJA</w:t>
            </w:r>
          </w:p>
        </w:tc>
        <w:tc>
          <w:tcPr>
            <w:tcW w:w="5760" w:type="dxa"/>
          </w:tcPr>
          <w:p w14:paraId="262D8AB3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zh-CN" w:eastAsia="en-US" w:bidi="ar-SA"/>
              </w:rPr>
              <w:t>Redovni, 2. ciklus LT</w:t>
            </w:r>
          </w:p>
        </w:tc>
      </w:tr>
      <w:tr w14:paraId="234C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5" w:type="dxa"/>
            <w:shd w:val="clear" w:color="auto" w:fill="F1F1F1" w:themeFill="background1" w:themeFillShade="F2"/>
          </w:tcPr>
          <w:p w14:paraId="12ADC35E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zh-CN" w:eastAsia="en-US" w:bidi="ar-SA"/>
              </w:rPr>
              <w:t>PREDMET</w:t>
            </w:r>
          </w:p>
        </w:tc>
        <w:tc>
          <w:tcPr>
            <w:tcW w:w="5760" w:type="dxa"/>
          </w:tcPr>
          <w:p w14:paraId="589ABA0C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zh-CN" w:eastAsia="en-US" w:bidi="ar-SA"/>
              </w:rPr>
              <w:t>Napredne laboratorijske tehnologije</w:t>
            </w:r>
          </w:p>
        </w:tc>
      </w:tr>
      <w:tr w14:paraId="453F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5" w:type="dxa"/>
            <w:shd w:val="clear" w:color="auto" w:fill="F1F1F1" w:themeFill="background1" w:themeFillShade="F2"/>
          </w:tcPr>
          <w:p w14:paraId="56C0AD6C">
            <w:pPr>
              <w:widowControl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zh-CN" w:eastAsia="en-US" w:bidi="ar-SA"/>
              </w:rPr>
              <w:t>DATUM ODRŽAVANJA</w:t>
            </w:r>
          </w:p>
        </w:tc>
        <w:tc>
          <w:tcPr>
            <w:tcW w:w="5760" w:type="dxa"/>
          </w:tcPr>
          <w:p w14:paraId="4413425A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zh-CN" w:eastAsia="en-US" w:bidi="ar-SA"/>
              </w:rPr>
              <w:t>27.01.2025</w:t>
            </w:r>
          </w:p>
        </w:tc>
      </w:tr>
    </w:tbl>
    <w:p w14:paraId="564EA5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6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54"/>
        <w:gridCol w:w="3007"/>
      </w:tblGrid>
      <w:tr w14:paraId="17CD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shd w:val="clear" w:color="auto" w:fill="F1F1F1" w:themeFill="background1" w:themeFillShade="F2"/>
          </w:tcPr>
          <w:p w14:paraId="7A8CC324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zh-CN" w:eastAsia="en-US" w:bidi="ar-SA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22C47CD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zh-CN" w:eastAsia="en-US" w:bidi="ar-SA"/>
              </w:rPr>
              <w:t>BROJ INDEKSA</w:t>
            </w:r>
          </w:p>
        </w:tc>
        <w:tc>
          <w:tcPr>
            <w:tcW w:w="3007" w:type="dxa"/>
            <w:shd w:val="clear" w:color="auto" w:fill="F1F1F1" w:themeFill="background1" w:themeFillShade="F2"/>
          </w:tcPr>
          <w:p w14:paraId="0B05BCC7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zh-CN" w:eastAsia="en-US" w:bidi="ar-SA"/>
              </w:rPr>
              <w:t>KONAČNA OCJENA</w:t>
            </w:r>
          </w:p>
        </w:tc>
      </w:tr>
      <w:tr w14:paraId="721A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 w14:paraId="11A9BEE6">
            <w:pPr>
              <w:pStyle w:val="15"/>
              <w:widowControl/>
              <w:numPr>
                <w:ilvl w:val="0"/>
                <w:numId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16D25F6D">
            <w:pPr>
              <w:pStyle w:val="16"/>
              <w:spacing w:before="0" w:after="16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12/13-L</w:t>
            </w:r>
          </w:p>
        </w:tc>
        <w:tc>
          <w:tcPr>
            <w:tcW w:w="3007" w:type="dxa"/>
            <w:vAlign w:val="center"/>
          </w:tcPr>
          <w:p w14:paraId="1E2F9D1F">
            <w:pPr>
              <w:pStyle w:val="16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pet (5)/F, FX</w:t>
            </w:r>
          </w:p>
        </w:tc>
      </w:tr>
      <w:tr w14:paraId="6B67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 w14:paraId="76C2CBD3">
            <w:pPr>
              <w:pStyle w:val="15"/>
              <w:widowControl/>
              <w:numPr>
                <w:ilvl w:val="0"/>
                <w:numId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00CE9A1F">
            <w:pPr>
              <w:pStyle w:val="16"/>
              <w:spacing w:before="0" w:after="16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140/24-L</w:t>
            </w:r>
          </w:p>
        </w:tc>
        <w:tc>
          <w:tcPr>
            <w:tcW w:w="3007" w:type="dxa"/>
            <w:vAlign w:val="center"/>
          </w:tcPr>
          <w:p w14:paraId="4530A1F4">
            <w:pPr>
              <w:pStyle w:val="16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pet (5)/F, FX</w:t>
            </w:r>
          </w:p>
        </w:tc>
      </w:tr>
      <w:tr w14:paraId="112E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 w14:paraId="5933BFBE">
            <w:pPr>
              <w:pStyle w:val="15"/>
              <w:widowControl/>
              <w:numPr>
                <w:ilvl w:val="0"/>
                <w:numId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615635C7">
            <w:pPr>
              <w:pStyle w:val="16"/>
              <w:spacing w:before="0" w:after="16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137/24-L </w:t>
            </w:r>
          </w:p>
        </w:tc>
        <w:tc>
          <w:tcPr>
            <w:tcW w:w="3007" w:type="dxa"/>
            <w:vAlign w:val="center"/>
          </w:tcPr>
          <w:p w14:paraId="6D7FC915">
            <w:pPr>
              <w:pStyle w:val="16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osam (8)/C</w:t>
            </w:r>
          </w:p>
        </w:tc>
      </w:tr>
      <w:tr w14:paraId="4394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 w14:paraId="65185E55">
            <w:pPr>
              <w:pStyle w:val="15"/>
              <w:widowControl/>
              <w:numPr>
                <w:ilvl w:val="0"/>
                <w:numId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5872063B">
            <w:pPr>
              <w:pStyle w:val="16"/>
              <w:spacing w:before="0" w:after="16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139/24-L </w:t>
            </w:r>
          </w:p>
        </w:tc>
        <w:tc>
          <w:tcPr>
            <w:tcW w:w="3007" w:type="dxa"/>
            <w:vAlign w:val="center"/>
          </w:tcPr>
          <w:p w14:paraId="4C34D78D">
            <w:pPr>
              <w:pStyle w:val="16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osam (8)/C</w:t>
            </w:r>
          </w:p>
        </w:tc>
      </w:tr>
      <w:tr w14:paraId="6A0F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 w14:paraId="7C6F3F36">
            <w:pPr>
              <w:pStyle w:val="15"/>
              <w:widowControl/>
              <w:numPr>
                <w:ilvl w:val="0"/>
                <w:numId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33864CCB">
            <w:pPr>
              <w:pStyle w:val="16"/>
              <w:spacing w:before="0" w:after="16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138/24-L</w:t>
            </w:r>
          </w:p>
        </w:tc>
        <w:tc>
          <w:tcPr>
            <w:tcW w:w="3007" w:type="dxa"/>
            <w:vAlign w:val="center"/>
          </w:tcPr>
          <w:p w14:paraId="2459EBD5">
            <w:pPr>
              <w:pStyle w:val="16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osam (8)/C</w:t>
            </w:r>
          </w:p>
        </w:tc>
      </w:tr>
      <w:tr w14:paraId="231A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 w14:paraId="47104228">
            <w:pPr>
              <w:pStyle w:val="15"/>
              <w:widowControl/>
              <w:numPr>
                <w:ilvl w:val="0"/>
                <w:numId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4B7B22B1">
            <w:pPr>
              <w:pStyle w:val="16"/>
              <w:spacing w:before="0" w:after="16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141/24-L</w:t>
            </w:r>
          </w:p>
        </w:tc>
        <w:tc>
          <w:tcPr>
            <w:tcW w:w="3007" w:type="dxa"/>
            <w:vAlign w:val="center"/>
          </w:tcPr>
          <w:p w14:paraId="6D87CC7D">
            <w:pPr>
              <w:pStyle w:val="16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pet (5)/F, FX</w:t>
            </w:r>
          </w:p>
        </w:tc>
      </w:tr>
      <w:tr w14:paraId="1062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tcBorders>
              <w:top w:val="nil"/>
            </w:tcBorders>
          </w:tcPr>
          <w:p w14:paraId="1671A2AD">
            <w:pPr>
              <w:pStyle w:val="15"/>
              <w:widowControl/>
              <w:numPr>
                <w:ilvl w:val="0"/>
                <w:numId w:val="1"/>
              </w:num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</w:tcBorders>
            <w:vAlign w:val="center"/>
          </w:tcPr>
          <w:p w14:paraId="60C17BC8">
            <w:pPr>
              <w:pStyle w:val="16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142/24-L</w:t>
            </w:r>
          </w:p>
        </w:tc>
        <w:tc>
          <w:tcPr>
            <w:tcW w:w="3007" w:type="dxa"/>
            <w:tcBorders>
              <w:top w:val="nil"/>
            </w:tcBorders>
            <w:vAlign w:val="center"/>
          </w:tcPr>
          <w:p w14:paraId="78AF1655">
            <w:pPr>
              <w:pStyle w:val="16"/>
              <w:spacing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>pet (5)/F, FX</w:t>
            </w:r>
          </w:p>
        </w:tc>
      </w:tr>
    </w:tbl>
    <w:p w14:paraId="3F0C04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7945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ponedeljak, 03.02.2025. godine s početkom u 11:00 sati u KCUS, OJ Klinička mikrobiologija.</w:t>
      </w:r>
    </w:p>
    <w:p w14:paraId="791B2B3D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B1001A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ponedeljak, 03.02.2025. godine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12:00 sati odgovornom nastavniku.</w:t>
      </w:r>
    </w:p>
    <w:p w14:paraId="4CF35F84">
      <w:pPr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597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EDA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30.01.2025. godine</w:t>
      </w:r>
    </w:p>
    <w:p w14:paraId="36F179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641A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Irma Salimović-Bešić</w:t>
      </w:r>
    </w:p>
    <w:p w14:paraId="15A805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33F9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C27221">
      <w:pPr>
        <w:spacing w:before="0" w:after="160"/>
        <w:rPr>
          <w:rFonts w:ascii="Times New Roman" w:hAnsi="Times New Roman" w:cs="Times New Roman"/>
          <w:sz w:val="24"/>
          <w:szCs w:val="24"/>
        </w:rPr>
      </w:pPr>
    </w:p>
    <w:sectPr>
      <w:headerReference r:id="rId7" w:type="first"/>
      <w:headerReference r:id="rId5" w:type="default"/>
      <w:headerReference r:id="rId6" w:type="even"/>
      <w:pgSz w:w="11906" w:h="16838"/>
      <w:pgMar w:top="1440" w:right="1440" w:bottom="1440" w:left="1440" w:header="708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46766">
    <w:pPr>
      <w:pStyle w:val="7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775ACDA">
    <w:pPr>
      <w:pStyle w:val="7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60D108F">
    <w:pPr>
      <w:pStyle w:val="7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05B2B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A4ACC">
    <w:pPr>
      <w:pStyle w:val="7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C92CC31">
    <w:pPr>
      <w:pStyle w:val="7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146B3E0C">
    <w:pPr>
      <w:pStyle w:val="7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9F2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styleId="8">
    <w:name w:val="List"/>
    <w:basedOn w:val="4"/>
    <w:qFormat/>
    <w:uiPriority w:val="0"/>
    <w:rPr>
      <w:rFonts w:cs="Arial Unicode MS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  <w:rPr>
      <w:rFonts w:cs="Arial Unicode MS"/>
    </w:rPr>
  </w:style>
  <w:style w:type="paragraph" w:customStyle="1" w:styleId="14">
    <w:name w:val="Header and Footer"/>
    <w:basedOn w:val="1"/>
    <w:qFormat/>
    <w:uiPriority w:val="0"/>
  </w:style>
  <w:style w:type="paragraph" w:styleId="15">
    <w:name w:val="List Paragraph"/>
    <w:basedOn w:val="1"/>
    <w:qFormat/>
    <w:uiPriority w:val="34"/>
    <w:pPr>
      <w:spacing w:before="0" w:after="160"/>
      <w:ind w:left="720"/>
      <w:contextualSpacing/>
    </w:pPr>
  </w:style>
  <w:style w:type="paragraph" w:customStyle="1" w:styleId="16">
    <w:name w:val="Table Contents"/>
    <w:basedOn w:val="1"/>
    <w:qFormat/>
    <w:uiPriority w:val="0"/>
    <w:pPr>
      <w:widowControl w:val="0"/>
      <w:suppressLineNumbers/>
    </w:pPr>
  </w:style>
  <w:style w:type="paragraph" w:customStyle="1" w:styleId="17">
    <w:name w:val="Table Heading"/>
    <w:basedOn w:val="16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679</Characters>
  <Paragraphs>41</Paragraphs>
  <TotalTime>6</TotalTime>
  <ScaleCrop>false</ScaleCrop>
  <LinksUpToDate>false</LinksUpToDate>
  <CharactersWithSpaces>752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2024-01-29T10:17:00Z</dcterms:created>
  <dc:creator>Eldina Smjecanin</dc:creator>
  <cp:lastModifiedBy>Lenovo</cp:lastModifiedBy>
  <cp:lastPrinted>2021-08-31T10:59:00Z</cp:lastPrinted>
  <dcterms:modified xsi:type="dcterms:W3CDTF">2025-01-31T08:25:42Z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68ABD00E06C9430599C3D334FF373F12_13</vt:lpwstr>
  </property>
</Properties>
</file>